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8904"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ПОВІДОМЛЕННЯ</w:t>
      </w:r>
    </w:p>
    <w:p w14:paraId="1FBB15A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проведення (скликання) загальних зборів акціонерного товариства</w:t>
      </w:r>
    </w:p>
    <w:p w14:paraId="673B62A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gridCol w:w="6465"/>
      </w:tblGrid>
      <w:tr w:rsidR="00000000" w14:paraId="1C6EC49B"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C45054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6465" w:type="dxa"/>
            <w:tcBorders>
              <w:top w:val="single" w:sz="6" w:space="0" w:color="auto"/>
              <w:left w:val="single" w:sz="6" w:space="0" w:color="auto"/>
              <w:bottom w:val="single" w:sz="6" w:space="0" w:color="auto"/>
            </w:tcBorders>
            <w:vAlign w:val="center"/>
          </w:tcPr>
          <w:p w14:paraId="2EE82F6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r>
      <w:tr w:rsidR="00000000" w14:paraId="73797E7D"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079276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Повне найменування</w:t>
            </w:r>
          </w:p>
        </w:tc>
        <w:tc>
          <w:tcPr>
            <w:tcW w:w="6465" w:type="dxa"/>
            <w:tcBorders>
              <w:top w:val="single" w:sz="6" w:space="0" w:color="auto"/>
              <w:left w:val="single" w:sz="6" w:space="0" w:color="auto"/>
              <w:bottom w:val="single" w:sz="6" w:space="0" w:color="auto"/>
            </w:tcBorders>
            <w:vAlign w:val="center"/>
          </w:tcPr>
          <w:p w14:paraId="22E983F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ПРИВАТНЕ АКЦІОНЕРНЕ ТОВАРИСТВО "ТЕПЛИЧНИЙ КОМБІНАТ"</w:t>
            </w:r>
          </w:p>
        </w:tc>
      </w:tr>
      <w:tr w:rsidR="00000000" w14:paraId="57E651F0"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16F66BB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068FDB8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04528123</w:t>
            </w:r>
          </w:p>
        </w:tc>
      </w:tr>
      <w:tr w:rsidR="00000000" w14:paraId="0E73C60B"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39E25A5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Місцезнаходження</w:t>
            </w:r>
          </w:p>
        </w:tc>
        <w:tc>
          <w:tcPr>
            <w:tcW w:w="6465" w:type="dxa"/>
            <w:tcBorders>
              <w:top w:val="single" w:sz="6" w:space="0" w:color="auto"/>
              <w:left w:val="single" w:sz="6" w:space="0" w:color="auto"/>
              <w:bottom w:val="single" w:sz="6" w:space="0" w:color="auto"/>
            </w:tcBorders>
            <w:vAlign w:val="center"/>
          </w:tcPr>
          <w:p w14:paraId="3BB0F35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42744, Сумська обл., Охтирський район, село Чернеччина, вулиця </w:t>
            </w:r>
            <w:proofErr w:type="spellStart"/>
            <w:r>
              <w:rPr>
                <w:rFonts w:ascii="Times New Roman" w:hAnsi="Times New Roman" w:cs="Times New Roman"/>
                <w:kern w:val="0"/>
                <w:sz w:val="20"/>
                <w:szCs w:val="20"/>
              </w:rPr>
              <w:t>Готеляка</w:t>
            </w:r>
            <w:proofErr w:type="spellEnd"/>
            <w:r>
              <w:rPr>
                <w:rFonts w:ascii="Times New Roman" w:hAnsi="Times New Roman" w:cs="Times New Roman"/>
                <w:kern w:val="0"/>
                <w:sz w:val="20"/>
                <w:szCs w:val="20"/>
              </w:rPr>
              <w:t>, будинок 69</w:t>
            </w:r>
          </w:p>
        </w:tc>
      </w:tr>
      <w:tr w:rsidR="00000000" w14:paraId="701D501E"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0A81566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і час початку проведення загальних зборів</w:t>
            </w:r>
          </w:p>
        </w:tc>
        <w:tc>
          <w:tcPr>
            <w:tcW w:w="6465" w:type="dxa"/>
            <w:tcBorders>
              <w:top w:val="single" w:sz="6" w:space="0" w:color="auto"/>
              <w:left w:val="single" w:sz="6" w:space="0" w:color="auto"/>
              <w:bottom w:val="single" w:sz="6" w:space="0" w:color="auto"/>
            </w:tcBorders>
            <w:vAlign w:val="center"/>
          </w:tcPr>
          <w:p w14:paraId="1EDBC4E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19.12.2025 11:00</w:t>
            </w:r>
          </w:p>
        </w:tc>
      </w:tr>
      <w:tr w:rsidR="00000000" w14:paraId="1C46DE47"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2F97815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Спосіб проведення загальних зборів</w:t>
            </w:r>
          </w:p>
        </w:tc>
        <w:tc>
          <w:tcPr>
            <w:tcW w:w="6465" w:type="dxa"/>
            <w:tcBorders>
              <w:top w:val="single" w:sz="6" w:space="0" w:color="auto"/>
              <w:left w:val="single" w:sz="6" w:space="0" w:color="auto"/>
              <w:bottom w:val="single" w:sz="6" w:space="0" w:color="auto"/>
            </w:tcBorders>
            <w:vAlign w:val="center"/>
          </w:tcPr>
          <w:p w14:paraId="6248C1F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опитування (дистанційно)</w:t>
            </w:r>
          </w:p>
        </w:tc>
      </w:tr>
      <w:tr w:rsidR="00000000" w14:paraId="148F48A9"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5CA1BB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Час початку і закінчення реєстрації акціонерів для участі у загальних зборах</w:t>
            </w:r>
          </w:p>
        </w:tc>
        <w:tc>
          <w:tcPr>
            <w:tcW w:w="6465" w:type="dxa"/>
            <w:tcBorders>
              <w:top w:val="single" w:sz="6" w:space="0" w:color="auto"/>
              <w:left w:val="single" w:sz="6" w:space="0" w:color="auto"/>
              <w:bottom w:val="single" w:sz="6" w:space="0" w:color="auto"/>
            </w:tcBorders>
            <w:vAlign w:val="center"/>
          </w:tcPr>
          <w:p w14:paraId="15951D3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r>
      <w:tr w:rsidR="00000000" w14:paraId="6B6E35E5"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57E3484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складення переліку акціонерів, які мають право на участь у загальних зборах</w:t>
            </w:r>
          </w:p>
        </w:tc>
        <w:tc>
          <w:tcPr>
            <w:tcW w:w="6465" w:type="dxa"/>
            <w:tcBorders>
              <w:top w:val="single" w:sz="6" w:space="0" w:color="auto"/>
              <w:left w:val="single" w:sz="6" w:space="0" w:color="auto"/>
              <w:bottom w:val="single" w:sz="6" w:space="0" w:color="auto"/>
            </w:tcBorders>
            <w:vAlign w:val="center"/>
          </w:tcPr>
          <w:p w14:paraId="455866D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26.12.2025</w:t>
            </w:r>
          </w:p>
        </w:tc>
      </w:tr>
      <w:tr w:rsidR="00000000" w14:paraId="28DE8DE0"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7E1692B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Проект порядку денного / порядок денний</w:t>
            </w:r>
          </w:p>
        </w:tc>
        <w:tc>
          <w:tcPr>
            <w:tcW w:w="6465" w:type="dxa"/>
            <w:tcBorders>
              <w:top w:val="single" w:sz="6" w:space="0" w:color="auto"/>
              <w:left w:val="single" w:sz="6" w:space="0" w:color="auto"/>
              <w:bottom w:val="single" w:sz="6" w:space="0" w:color="auto"/>
            </w:tcBorders>
            <w:vAlign w:val="center"/>
          </w:tcPr>
          <w:p w14:paraId="43067DE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 Про внесення змін до Статуту Товариства у зв’язку із збільшенням розміру статутного капіталу шляхом викладення його в новій редакції. Затвердження нової редакції Статуту та надання повноважень на його підписання.</w:t>
            </w:r>
          </w:p>
          <w:p w14:paraId="6B1996A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4FB68A2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Взаємозв’язок між питаннями не визначається у зв’язку із включенням до порядку денного одного питання</w:t>
            </w:r>
          </w:p>
        </w:tc>
      </w:tr>
      <w:tr w:rsidR="00000000" w14:paraId="1ABBA0E6"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7CF59B7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Проекти рішень (крім кумулятивного голосування) з кожного питання, включеного до проекту порядку денного</w:t>
            </w:r>
          </w:p>
        </w:tc>
        <w:tc>
          <w:tcPr>
            <w:tcW w:w="6465" w:type="dxa"/>
            <w:tcBorders>
              <w:top w:val="single" w:sz="6" w:space="0" w:color="auto"/>
              <w:left w:val="single" w:sz="6" w:space="0" w:color="auto"/>
              <w:bottom w:val="single" w:sz="6" w:space="0" w:color="auto"/>
            </w:tcBorders>
            <w:vAlign w:val="center"/>
          </w:tcPr>
          <w:p w14:paraId="755952C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 З питання 1 порядку денного:</w:t>
            </w:r>
          </w:p>
          <w:p w14:paraId="7EC9B1E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roofErr w:type="spellStart"/>
            <w:r>
              <w:rPr>
                <w:rFonts w:ascii="Times New Roman" w:hAnsi="Times New Roman" w:cs="Times New Roman"/>
                <w:kern w:val="0"/>
                <w:sz w:val="20"/>
                <w:szCs w:val="20"/>
              </w:rPr>
              <w:t>Внести</w:t>
            </w:r>
            <w:proofErr w:type="spellEnd"/>
            <w:r>
              <w:rPr>
                <w:rFonts w:ascii="Times New Roman" w:hAnsi="Times New Roman" w:cs="Times New Roman"/>
                <w:kern w:val="0"/>
                <w:sz w:val="20"/>
                <w:szCs w:val="20"/>
              </w:rPr>
              <w:t xml:space="preserve"> зміни до Статуту Товариства у зв’язку із збільшенням розміру статутного капіталу та затвердити нову редакцію Статуту Товариства із статутним капіталом у розмірі 12 221 200,00 грн. Уповноважити голову та секретаря позачергових загальних зборів акціонерів підписати нову редакцію Статуту Товариства.</w:t>
            </w:r>
          </w:p>
        </w:tc>
      </w:tr>
      <w:tr w:rsidR="00000000" w14:paraId="51878102"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2B185C4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URL-адреса вебсайту, на якій розміщено інформацію, зазначену в частині третій статті 47 Закону України "Про акціонерні товариства""</w:t>
            </w:r>
          </w:p>
        </w:tc>
        <w:tc>
          <w:tcPr>
            <w:tcW w:w="6465" w:type="dxa"/>
            <w:tcBorders>
              <w:top w:val="single" w:sz="6" w:space="0" w:color="auto"/>
              <w:left w:val="single" w:sz="6" w:space="0" w:color="auto"/>
              <w:bottom w:val="single" w:sz="6" w:space="0" w:color="auto"/>
            </w:tcBorders>
            <w:vAlign w:val="center"/>
          </w:tcPr>
          <w:p w14:paraId="609865D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http://04528123.emitents.org</w:t>
            </w:r>
          </w:p>
        </w:tc>
      </w:tr>
      <w:tr w:rsidR="00000000" w14:paraId="1E034F22"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566D016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Порядок ознайомлення акціонерів з матеріалами, з якими вони можуть ознайомитися під час підготовки до загальних зборів, та посадова особа акціонерного товариства, відповідальна за порядок ознайомлення акціонерів з документами</w:t>
            </w:r>
          </w:p>
        </w:tc>
        <w:tc>
          <w:tcPr>
            <w:tcW w:w="6465" w:type="dxa"/>
            <w:tcBorders>
              <w:top w:val="single" w:sz="6" w:space="0" w:color="auto"/>
              <w:left w:val="single" w:sz="6" w:space="0" w:color="auto"/>
              <w:bottom w:val="single" w:sz="6" w:space="0" w:color="auto"/>
            </w:tcBorders>
            <w:vAlign w:val="center"/>
          </w:tcPr>
          <w:p w14:paraId="2EDB471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Від дати надсилання цього повідомлення про проведення позачергових загальних зборів до дати проведення позачергових загальних зборів, а також протягом 6 місяців з дати проведення позачергових загальних зборів, акціонери мають можливість ознайомитись з документами, необхідними для прийняття рішень з питань, включених до порядку денного.</w:t>
            </w:r>
          </w:p>
          <w:p w14:paraId="2D4367E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0DF57F8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Запит на ознайомлення з документами, необхідними акціонерам для прийняття рішень з питань, включених до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зазначену в цьому повідомленні.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w:t>
            </w:r>
          </w:p>
          <w:p w14:paraId="1E2B296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78DF29F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Особою, відповідальною за ознайомлення акціонерів з документами, є директор Масло Костянтин Євгенович, телефони  (099) 477 07 82, (099) 016-40-12.</w:t>
            </w:r>
          </w:p>
          <w:p w14:paraId="24596CE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15B4A08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Товариство до дати проведення позачергових загальних зборів надаватиме відповіді на письмові запитання акціонерів щодо питань, включених до порядку денного позачергових загальних зборів, отримані Товариством не пізніше ніж за один робочий день до дати проведення позачергових загальних зборів. Відповідні запити направляються акціонерами на адресу електронної пошти, зазначену в цьому повідомленні із засвідченням такого запиту кваліфікованим </w:t>
            </w:r>
            <w:r>
              <w:rPr>
                <w:rFonts w:ascii="Times New Roman" w:hAnsi="Times New Roman" w:cs="Times New Roman"/>
                <w:kern w:val="0"/>
                <w:sz w:val="20"/>
                <w:szCs w:val="20"/>
              </w:rPr>
              <w:lastRenderedPageBreak/>
              <w:t>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фондового ринку.</w:t>
            </w:r>
          </w:p>
          <w:p w14:paraId="4D7F527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288C00B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roofErr w:type="spellStart"/>
            <w:r>
              <w:rPr>
                <w:rFonts w:ascii="Times New Roman" w:hAnsi="Times New Roman" w:cs="Times New Roman"/>
                <w:kern w:val="0"/>
                <w:sz w:val="20"/>
                <w:szCs w:val="20"/>
              </w:rPr>
              <w:t>Адресою</w:t>
            </w:r>
            <w:proofErr w:type="spellEnd"/>
            <w:r>
              <w:rPr>
                <w:rFonts w:ascii="Times New Roman" w:hAnsi="Times New Roman" w:cs="Times New Roman"/>
                <w:kern w:val="0"/>
                <w:sz w:val="20"/>
                <w:szCs w:val="20"/>
              </w:rPr>
              <w:t xml:space="preserve"> електронної пошти, на яку акціонер може направити запит щодо ознайомлення з документами під час підготовки до загальних зборів та/або запитання щодо порядку денного загальних зборів, є tk_okhtyrka@ukr.net</w:t>
            </w:r>
          </w:p>
        </w:tc>
      </w:tr>
      <w:tr w:rsidR="00000000" w14:paraId="2F3D858E"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7FFF941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Інформація про права, надані акціонерам відповідно до вимог статей 27 і 28 Закону України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6465" w:type="dxa"/>
            <w:tcBorders>
              <w:top w:val="single" w:sz="6" w:space="0" w:color="auto"/>
              <w:left w:val="single" w:sz="6" w:space="0" w:color="auto"/>
              <w:bottom w:val="single" w:sz="6" w:space="0" w:color="auto"/>
            </w:tcBorders>
            <w:vAlign w:val="center"/>
          </w:tcPr>
          <w:p w14:paraId="0AE1B7F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Після отримання цього повідомлення акціонери можуть користуватися правами, передбаченими законом, зокрема, правом на участь в управлінні Товариством, на отримання дивідендів, на отримання у разі ліквідації Товариства частини його майна або вартості частини майна Товариства та на отримання інформації про господарську діяльність Товариства шляхом: </w:t>
            </w:r>
          </w:p>
          <w:p w14:paraId="105B1E6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участі та голосування на позачергових загальних зборах - до моменту завершення голосування на позачергових загальних зборах;</w:t>
            </w:r>
          </w:p>
          <w:p w14:paraId="12AB0F1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ознайомлення з документами, необхідними для прийняття рішень з питань, включених до порядку денного – до дати проведення  позачергових загальних зборів та протягом 6 місяців з дати проведення позачергових загальних зборів;</w:t>
            </w:r>
          </w:p>
          <w:p w14:paraId="476DE65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ознайомлення з протоколами про підсумки голосування, протоколом позачергових загальних зборів – після їх оприлюднення на веб-сайті Товариства та протягом строку, встановленого чинним законодавством України.</w:t>
            </w:r>
          </w:p>
          <w:p w14:paraId="5E2AE91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Інші права використовуються акціонерами протягом строку встановленого законодавством</w:t>
            </w:r>
          </w:p>
        </w:tc>
      </w:tr>
      <w:tr w:rsidR="00000000" w14:paraId="053F530F"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6395CC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Порядок надання акціонерами пропозицій до проекту порядку денного позачергових загальних зборів</w:t>
            </w:r>
          </w:p>
        </w:tc>
        <w:tc>
          <w:tcPr>
            <w:tcW w:w="6465" w:type="dxa"/>
            <w:tcBorders>
              <w:top w:val="single" w:sz="6" w:space="0" w:color="auto"/>
              <w:left w:val="single" w:sz="6" w:space="0" w:color="auto"/>
              <w:bottom w:val="single" w:sz="6" w:space="0" w:color="auto"/>
            </w:tcBorders>
            <w:vAlign w:val="center"/>
          </w:tcPr>
          <w:p w14:paraId="41A8D6A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Відповідно до п. 59 Порядку скликання та дистанційного проведення загальних зборів акціонерів, затвердженого рішенням Національної комісії з цінних паперів та фондового ринку від 06.03.2023 року № 236 (далі – Порядок), у зв’язку із скликанням загальних зборів за скороченою процедурою, вимоги розділу ХІ Порядку щодо внесення пропозицій до порядку денного загальних зборів не застосовуються</w:t>
            </w:r>
          </w:p>
        </w:tc>
      </w:tr>
      <w:tr w:rsidR="00000000" w14:paraId="7090427B"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962152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Порядок участі та голосування на загальних зборах за довіреністю</w:t>
            </w:r>
          </w:p>
        </w:tc>
        <w:tc>
          <w:tcPr>
            <w:tcW w:w="6465" w:type="dxa"/>
            <w:tcBorders>
              <w:top w:val="single" w:sz="6" w:space="0" w:color="auto"/>
              <w:left w:val="single" w:sz="6" w:space="0" w:color="auto"/>
              <w:bottom w:val="single" w:sz="6" w:space="0" w:color="auto"/>
            </w:tcBorders>
            <w:vAlign w:val="center"/>
          </w:tcPr>
          <w:p w14:paraId="72D1730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Кожен акціонер – власник голосуючих акцій має право реалізувати своє право на управління Товариством шляхом участі у загальних зборах і голосування шляхом подання бюлетеня депозитарній установі, яка обслуговує рахунок в цінних паперах такого акціонера, на якому обліковуються належні акціонеру акції Товариства.</w:t>
            </w:r>
          </w:p>
          <w:p w14:paraId="683767F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Голосування на позачергових загальних зборах (направлення до депозитарної установи бюлетенів для голосування) розпочинається об 11-00 19.12.2025 та завершується о 18-00 31.12.2025. </w:t>
            </w:r>
          </w:p>
          <w:p w14:paraId="309BD85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Голосування на позачергових загальних зборах з питань порядку денного проводиться виключно з використанням єдиного бюлетеня для голосування (щодо інших питань порядку денного, крім обрання органів товариства), який акціонер має самостійно завантажити з веб-сайту Товариства, заповнити і надіслати депозитарній установі, яка обслуговує рахунок в цінних паперах такого акціонера, на якому обліковуються належні акціонеру акції Товариства.</w:t>
            </w:r>
          </w:p>
          <w:p w14:paraId="65C6DC7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Бюлетень для голосування розміщуватиметься у вільному для акціонерів доступі на сторінці http://04528123.emitents.org</w:t>
            </w:r>
          </w:p>
          <w:p w14:paraId="1903B14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розміщення єдиного бюлетеня для голосування (щодо інших питань порядку денного, крім обрання органів товариства) – 19.12.2025.</w:t>
            </w:r>
          </w:p>
          <w:p w14:paraId="3DB566B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Бюлетень для голосування засвідчується та направляється (подається) депозитарній установі, яка обслуговує рахунок акціонера в цінних паперах, на якому обліковуються належні акціонеру акції Товариства, одним з наступних способів за вибором акціонера:</w:t>
            </w:r>
          </w:p>
          <w:p w14:paraId="73320D23"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1) бюлетень в електронній формі засвідчується кваліфікованим електронним підписом (або іншим електронним підписом, що базується на кваліфікованому сертифікаті відкритого ключа, або іншим засобом електронної ідентифікації, що відповідає вимогам, визначеним Національною комісією з цінних паперів та фондового ринку) акціонера </w:t>
            </w:r>
            <w:r>
              <w:rPr>
                <w:rFonts w:ascii="Times New Roman" w:hAnsi="Times New Roman" w:cs="Times New Roman"/>
                <w:kern w:val="0"/>
                <w:sz w:val="20"/>
                <w:szCs w:val="20"/>
              </w:rPr>
              <w:lastRenderedPageBreak/>
              <w:t>(його представника) та направляється електронною поштою на адресу депозитарної установи;</w:t>
            </w:r>
          </w:p>
          <w:p w14:paraId="622EDA5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2) бюлетень в паперовій формі засвідчується нотаріально або посадовою особою,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та подається до депозитарної установи.</w:t>
            </w:r>
          </w:p>
          <w:p w14:paraId="3A7A572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Кожна сторінка бюлетеня, поданого в паперовій формі, який складається з кількох аркушів, має бути пронумерована та підписується акціонером (представником акціонера).</w:t>
            </w:r>
          </w:p>
          <w:p w14:paraId="026D509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36B8EB1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14:paraId="6F1FF3C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У разі отримання декількох бюлетенів з одних і тих самих питань порядку денного депозитарна установа оброблятиме той бюлетень, який було подано останнім, крім випадку, коли акціонером до завершення голосування буде надано повідомлення депозитарній установі щодо того, який із наданих бюлетенів необхідно вважати дійсним.</w:t>
            </w:r>
          </w:p>
          <w:p w14:paraId="37D8E88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Бюлетені приймаються виключно до 18-00 31.12.2025 (дати завершення голосування). Бюлетень, що був отриманий депозитарною установою після завершення часу, відведеного на голосування, вважається таким, що не поданий.</w:t>
            </w:r>
          </w:p>
          <w:p w14:paraId="175D29A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tk_okhtyrka@ukr.net.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p>
          <w:p w14:paraId="6C12F43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Разом з бюлетенем для голосування акціонеру (представнику акціонера) необхідно надати депозитарній установі паспорт (засвідчену належним чином паперову або електронну копію паспорта), для можливості його ідентифікації і верифікації депозитарною установою, а представнику акціонера (уповноваженій особі акціонера юридичної особи) також документ, що підтверджує його повноваження (засвідчену належним чином паперову або електронну копію такого документу). Депозитарна установа може вимагати у акціонера (представника акціонера) також інші документи, необхідні для його ідентифікації і верифікації, відповідно до договору укладеного між акціонером і такою депозитарною установою і/або законодавством про депозитарну систему і/або законодавством, що регулює порядок дистанційного проведення загальних зборів акціонерів.</w:t>
            </w:r>
          </w:p>
          <w:p w14:paraId="2E30671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Кожен акціонер має право на участь в управлінні Товариством, зокрема, шляхом участі в загальних зборах особисто або через свого представника.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 </w:t>
            </w:r>
          </w:p>
          <w:p w14:paraId="11F0516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призначити свого представника безстроково або на певний строк.</w:t>
            </w:r>
          </w:p>
          <w:p w14:paraId="4B6F80A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Довіреність на право участі та голосування на загальних зборах Товариства, видана фізичною особою, посвідчується нотаріусом або </w:t>
            </w:r>
            <w:r>
              <w:rPr>
                <w:rFonts w:ascii="Times New Roman" w:hAnsi="Times New Roman" w:cs="Times New Roman"/>
                <w:kern w:val="0"/>
                <w:sz w:val="20"/>
                <w:szCs w:val="20"/>
              </w:rPr>
              <w:lastRenderedPageBreak/>
              <w:t>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w:t>
            </w:r>
          </w:p>
          <w:p w14:paraId="0FA8901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Представник акціонера може отримувати від нього перелік питань порядку денного загальних зборів з інструкцією щодо голосування з цих питань (завдання щодо голосування), яка є невід'ємною частиною довіреності на право участі та голосування на загальних зборах. Під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свій розсуд.</w:t>
            </w:r>
          </w:p>
          <w:p w14:paraId="50ADA0D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видати довіреність на право участі та голосування на загальних зборах Товариства декільком своїм представникам.</w:t>
            </w:r>
          </w:p>
          <w:p w14:paraId="300159E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w:t>
            </w:r>
          </w:p>
          <w:p w14:paraId="3EE323C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Видача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w:t>
            </w:r>
          </w:p>
          <w:p w14:paraId="2ADF4A0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14:paraId="5326C64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119086C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Особа, яку акціонер має намір уповноважити на участь у загальних зборах, у випадку наявності в неї конфлікту інтересів, повинна врегулювати конфлікт інтересів у порядку, встановленому чинним законодавством України, або відмовитись від представництва</w:t>
            </w:r>
          </w:p>
        </w:tc>
      </w:tr>
      <w:tr w:rsidR="00000000" w14:paraId="5CD4F2E9"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69536AF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lastRenderedPageBreak/>
              <w:t>Дата і час початку та завершення голосування за допомогою авторизованої електронної системи</w:t>
            </w:r>
          </w:p>
        </w:tc>
        <w:tc>
          <w:tcPr>
            <w:tcW w:w="6465" w:type="dxa"/>
            <w:tcBorders>
              <w:top w:val="single" w:sz="6" w:space="0" w:color="auto"/>
              <w:left w:val="single" w:sz="6" w:space="0" w:color="auto"/>
              <w:bottom w:val="single" w:sz="6" w:space="0" w:color="auto"/>
            </w:tcBorders>
            <w:vAlign w:val="center"/>
          </w:tcPr>
          <w:p w14:paraId="403C1A9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r>
      <w:tr w:rsidR="00000000" w14:paraId="5ACAFDA5"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7077CF9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і час початку та завершення надсилання до депозитарної установи бюлетенів для голосування</w:t>
            </w:r>
          </w:p>
        </w:tc>
        <w:tc>
          <w:tcPr>
            <w:tcW w:w="6465" w:type="dxa"/>
            <w:tcBorders>
              <w:top w:val="single" w:sz="6" w:space="0" w:color="auto"/>
              <w:left w:val="single" w:sz="6" w:space="0" w:color="auto"/>
              <w:bottom w:val="single" w:sz="6" w:space="0" w:color="auto"/>
            </w:tcBorders>
            <w:vAlign w:val="center"/>
          </w:tcPr>
          <w:p w14:paraId="3F64238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Початок: 19.12.2025 11:00 </w:t>
            </w:r>
          </w:p>
          <w:p w14:paraId="7FB4EBE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Завершення: 31.12.2025 18:00</w:t>
            </w:r>
          </w:p>
        </w:tc>
      </w:tr>
      <w:tr w:rsidR="00000000" w14:paraId="3A146A68"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38717F2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Дані про мету зменшення розміру статутного капіталу та спосіб, у який буде проведено таку процедуру</w:t>
            </w:r>
          </w:p>
        </w:tc>
        <w:tc>
          <w:tcPr>
            <w:tcW w:w="6465" w:type="dxa"/>
            <w:tcBorders>
              <w:top w:val="single" w:sz="6" w:space="0" w:color="auto"/>
              <w:left w:val="single" w:sz="6" w:space="0" w:color="auto"/>
              <w:bottom w:val="single" w:sz="6" w:space="0" w:color="auto"/>
            </w:tcBorders>
            <w:vAlign w:val="center"/>
          </w:tcPr>
          <w:p w14:paraId="7528D23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r>
      <w:tr w:rsidR="00000000" w14:paraId="555A7697"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3C42F21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Інші відомості, передбачені законодавством</w:t>
            </w:r>
          </w:p>
        </w:tc>
        <w:tc>
          <w:tcPr>
            <w:tcW w:w="6465" w:type="dxa"/>
            <w:tcBorders>
              <w:top w:val="single" w:sz="6" w:space="0" w:color="auto"/>
              <w:left w:val="single" w:sz="6" w:space="0" w:color="auto"/>
              <w:bottom w:val="single" w:sz="6" w:space="0" w:color="auto"/>
            </w:tcBorders>
            <w:vAlign w:val="center"/>
          </w:tcPr>
          <w:p w14:paraId="6F4D71A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Позачергові загальні збори акціонерів Товариства, будуть проведені дистанційно згідно із Порядком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06.03.2023 №236.</w:t>
            </w:r>
          </w:p>
          <w:p w14:paraId="090E211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проведення позачергових загальних зборів (дата завершення голосування) – 31.12.2025 18-00.</w:t>
            </w:r>
          </w:p>
          <w:p w14:paraId="7E170CF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позачергових загальних зборах акціонерів Товариства</w:t>
            </w:r>
          </w:p>
        </w:tc>
      </w:tr>
      <w:tr w:rsidR="00000000" w14:paraId="6009C923"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0A8464B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6465" w:type="dxa"/>
            <w:tcBorders>
              <w:top w:val="single" w:sz="6" w:space="0" w:color="auto"/>
              <w:left w:val="single" w:sz="6" w:space="0" w:color="auto"/>
              <w:bottom w:val="single" w:sz="6" w:space="0" w:color="auto"/>
            </w:tcBorders>
            <w:vAlign w:val="center"/>
          </w:tcPr>
          <w:p w14:paraId="141761A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9 від 10.12.2025</w:t>
            </w:r>
          </w:p>
        </w:tc>
      </w:tr>
      <w:tr w:rsidR="00000000" w14:paraId="05EA9AE7" w14:textId="77777777">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14:paraId="72762784"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Дата складання повідомлення</w:t>
            </w:r>
          </w:p>
        </w:tc>
        <w:tc>
          <w:tcPr>
            <w:tcW w:w="6465" w:type="dxa"/>
            <w:tcBorders>
              <w:top w:val="single" w:sz="6" w:space="0" w:color="auto"/>
              <w:left w:val="single" w:sz="6" w:space="0" w:color="auto"/>
              <w:bottom w:val="single" w:sz="6" w:space="0" w:color="auto"/>
            </w:tcBorders>
            <w:vAlign w:val="center"/>
          </w:tcPr>
          <w:p w14:paraId="39D6F10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10.12.2025</w:t>
            </w:r>
          </w:p>
        </w:tc>
      </w:tr>
    </w:tbl>
    <w:p w14:paraId="14454A37" w14:textId="77777777" w:rsidR="00B32639" w:rsidRDefault="00B32639"/>
    <w:sectPr w:rsidR="00B32639">
      <w:footerReference w:type="default" r:id="rId6"/>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C827" w14:textId="77777777" w:rsidR="00B32639" w:rsidRDefault="00B32639">
      <w:pPr>
        <w:spacing w:after="0" w:line="240" w:lineRule="auto"/>
      </w:pPr>
      <w:r>
        <w:separator/>
      </w:r>
    </w:p>
  </w:endnote>
  <w:endnote w:type="continuationSeparator" w:id="0">
    <w:p w14:paraId="28CF3D17" w14:textId="77777777" w:rsidR="00B32639" w:rsidRDefault="00B32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2910"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AD37AE">
      <w:rPr>
        <w:rFonts w:ascii="Times New Roman" w:hAnsi="Times New Roman" w:cs="Times New Roman"/>
        <w:kern w:val="0"/>
        <w:sz w:val="20"/>
        <w:szCs w:val="20"/>
        <w:lang w:val="ru-RU"/>
      </w:rPr>
      <w:fldChar w:fldCharType="separate"/>
    </w:r>
    <w:r w:rsidR="00AD37AE">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4E82" w14:textId="77777777" w:rsidR="00B32639" w:rsidRDefault="00B32639">
      <w:pPr>
        <w:spacing w:after="0" w:line="240" w:lineRule="auto"/>
      </w:pPr>
      <w:r>
        <w:separator/>
      </w:r>
    </w:p>
  </w:footnote>
  <w:footnote w:type="continuationSeparator" w:id="0">
    <w:p w14:paraId="392E7043" w14:textId="77777777" w:rsidR="00B32639" w:rsidRDefault="00B326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AE"/>
    <w:rsid w:val="00283582"/>
    <w:rsid w:val="00AD37AE"/>
    <w:rsid w:val="00B326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5F5F78"/>
  <w14:defaultImageDpi w14:val="0"/>
  <w15:docId w15:val="{98810D7F-2E67-4CB3-8D47-01A65277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9833</Words>
  <Characters>5605</Characters>
  <Application>Microsoft Office Word</Application>
  <DocSecurity>0</DocSecurity>
  <Lines>46</Lines>
  <Paragraphs>30</Paragraphs>
  <ScaleCrop>false</ScaleCrop>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Ступак</dc:creator>
  <cp:keywords/>
  <dc:description/>
  <cp:lastModifiedBy>Олена Ступак</cp:lastModifiedBy>
  <cp:revision>2</cp:revision>
  <dcterms:created xsi:type="dcterms:W3CDTF">2025-12-12T10:48:00Z</dcterms:created>
  <dcterms:modified xsi:type="dcterms:W3CDTF">2025-12-12T10:48:00Z</dcterms:modified>
</cp:coreProperties>
</file>